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60CD" w:rsidRDefault="009F60CD" w:rsidP="009F60CD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:rsidR="009F60CD" w:rsidRDefault="009F60CD" w:rsidP="009F60CD">
      <w:pPr>
        <w:pStyle w:val="Bezriadkovania"/>
        <w:jc w:val="center"/>
      </w:pPr>
      <w:r>
        <w:t>uzavretá podľa zákona č. 116/1990 Zb. o nájme a podnájme nebytových priestorov v znení</w:t>
      </w:r>
    </w:p>
    <w:p w:rsidR="009F60CD" w:rsidRDefault="009F60CD" w:rsidP="009F60CD">
      <w:pPr>
        <w:pStyle w:val="Bezriadkovania"/>
        <w:jc w:val="center"/>
      </w:pPr>
      <w:r>
        <w:t>neskorších predpisov</w:t>
      </w:r>
    </w:p>
    <w:p w:rsidR="009F60CD" w:rsidRDefault="009F60CD" w:rsidP="009F60CD">
      <w:pPr>
        <w:pStyle w:val="Bezriadkovania"/>
        <w:jc w:val="center"/>
      </w:pPr>
      <w:r>
        <w:t>medzi</w:t>
      </w:r>
    </w:p>
    <w:p w:rsidR="009F60CD" w:rsidRDefault="009F60CD" w:rsidP="009F60CD"/>
    <w:p w:rsidR="009F60CD" w:rsidRDefault="009F60CD" w:rsidP="009F60CD">
      <w:bookmarkStart w:id="0" w:name="_Hlk33610896"/>
    </w:p>
    <w:p w:rsidR="009F60CD" w:rsidRDefault="009F60CD" w:rsidP="009F60CD">
      <w:pPr>
        <w:ind w:left="454"/>
      </w:pPr>
    </w:p>
    <w:p w:rsidR="009F60CD" w:rsidRDefault="009F60CD" w:rsidP="009F60CD">
      <w:pPr>
        <w:numPr>
          <w:ilvl w:val="0"/>
          <w:numId w:val="1"/>
        </w:numPr>
      </w:pPr>
      <w:r>
        <w:t xml:space="preserve">Prenajímateľom: </w:t>
      </w:r>
    </w:p>
    <w:p w:rsidR="009F60CD" w:rsidRDefault="009F60CD" w:rsidP="009F60CD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:rsidR="009F60CD" w:rsidRDefault="009F60CD" w:rsidP="009F60CD">
      <w:pPr>
        <w:ind w:left="454"/>
      </w:pPr>
      <w:r>
        <w:t>so sídlom: Kováčska 85, 044 25 Medzev</w:t>
      </w:r>
    </w:p>
    <w:p w:rsidR="009F60CD" w:rsidRDefault="009F60CD" w:rsidP="009F60CD">
      <w:pPr>
        <w:ind w:left="454"/>
      </w:pPr>
      <w:r>
        <w:t xml:space="preserve">zastúpená: Ingrid Horváthová – vedúca organizácie </w:t>
      </w:r>
    </w:p>
    <w:p w:rsidR="009F60CD" w:rsidRDefault="009F60CD" w:rsidP="009F60CD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:rsidR="009F60CD" w:rsidRDefault="009F60CD" w:rsidP="009F60CD">
      <w:pPr>
        <w:ind w:left="454"/>
      </w:pPr>
      <w:r>
        <w:t>číslo účtu: SK73 0900 0000 0004 4619 0056</w:t>
      </w:r>
    </w:p>
    <w:p w:rsidR="009F60CD" w:rsidRDefault="009F60CD" w:rsidP="009F60CD">
      <w:pPr>
        <w:ind w:left="454"/>
      </w:pPr>
      <w:r>
        <w:t>IČO: 00 135 283</w:t>
      </w:r>
    </w:p>
    <w:p w:rsidR="009F60CD" w:rsidRDefault="009F60CD" w:rsidP="009F60CD">
      <w:pPr>
        <w:ind w:left="454"/>
      </w:pPr>
      <w:r>
        <w:t>e-mail: msks@medzev.sk</w:t>
      </w:r>
    </w:p>
    <w:p w:rsidR="009F60CD" w:rsidRDefault="009F60CD" w:rsidP="009F60CD">
      <w:pPr>
        <w:ind w:left="454"/>
      </w:pPr>
      <w:r>
        <w:t>telefónne číslo: 0918 878 511</w:t>
      </w:r>
    </w:p>
    <w:bookmarkEnd w:id="0"/>
    <w:p w:rsidR="009F60CD" w:rsidRDefault="009F60CD" w:rsidP="009F60CD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:rsidR="009F60CD" w:rsidRDefault="009F60CD" w:rsidP="009F60CD">
      <w:pPr>
        <w:ind w:left="454"/>
      </w:pPr>
    </w:p>
    <w:p w:rsidR="009F60CD" w:rsidRDefault="009F60CD" w:rsidP="009F60CD">
      <w:pPr>
        <w:ind w:left="454"/>
      </w:pPr>
      <w:r>
        <w:t>a</w:t>
      </w:r>
    </w:p>
    <w:p w:rsidR="009F60CD" w:rsidRDefault="009F60CD" w:rsidP="009F60CD">
      <w:pPr>
        <w:ind w:left="454"/>
      </w:pPr>
    </w:p>
    <w:p w:rsidR="009F60CD" w:rsidRDefault="009F60CD" w:rsidP="009F60CD">
      <w:pPr>
        <w:numPr>
          <w:ilvl w:val="0"/>
          <w:numId w:val="1"/>
        </w:numPr>
      </w:pPr>
      <w:bookmarkStart w:id="1" w:name="_Hlk33610916"/>
      <w:r>
        <w:t>Nájomcom:</w:t>
      </w:r>
    </w:p>
    <w:p w:rsidR="009F60CD" w:rsidRDefault="00A722C3" w:rsidP="009F60CD">
      <w:pPr>
        <w:ind w:left="567" w:hanging="141"/>
        <w:rPr>
          <w:b/>
          <w:bCs/>
        </w:rPr>
      </w:pPr>
      <w:r>
        <w:rPr>
          <w:b/>
          <w:bCs/>
        </w:rPr>
        <w:t xml:space="preserve">Dominik </w:t>
      </w:r>
      <w:proofErr w:type="spellStart"/>
      <w:r>
        <w:rPr>
          <w:b/>
          <w:bCs/>
        </w:rPr>
        <w:t>Revický</w:t>
      </w:r>
      <w:proofErr w:type="spellEnd"/>
    </w:p>
    <w:p w:rsidR="009F60CD" w:rsidRDefault="009F60CD" w:rsidP="009F60CD">
      <w:pPr>
        <w:ind w:left="567" w:hanging="141"/>
      </w:pPr>
      <w:r>
        <w:t xml:space="preserve">trvale bytom, </w:t>
      </w:r>
      <w:r w:rsidR="00A722C3">
        <w:t>Aljašská</w:t>
      </w:r>
      <w:r>
        <w:t xml:space="preserve"> ul.  044 25 Medzev</w:t>
      </w:r>
    </w:p>
    <w:p w:rsidR="009F60CD" w:rsidRDefault="009337A8" w:rsidP="009F60CD">
      <w:pPr>
        <w:ind w:left="567" w:hanging="141"/>
      </w:pPr>
      <w:r>
        <w:t>č. OP:</w:t>
      </w:r>
      <w:r w:rsidR="009F60CD">
        <w:t xml:space="preserve"> </w:t>
      </w:r>
    </w:p>
    <w:p w:rsidR="009F60CD" w:rsidRDefault="009337A8" w:rsidP="009F60CD">
      <w:pPr>
        <w:ind w:left="567" w:hanging="141"/>
      </w:pPr>
      <w:r>
        <w:t>tel.</w:t>
      </w:r>
    </w:p>
    <w:p w:rsidR="009F60CD" w:rsidRDefault="009F60CD" w:rsidP="009F60CD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:rsidR="009F60CD" w:rsidRDefault="009F60CD" w:rsidP="009F60CD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:rsidR="009F60CD" w:rsidRDefault="009F60CD" w:rsidP="009F60CD">
      <w:pPr>
        <w:ind w:left="454"/>
      </w:pPr>
    </w:p>
    <w:bookmarkEnd w:id="1"/>
    <w:p w:rsidR="009F60CD" w:rsidRDefault="009F60CD" w:rsidP="009F60CD">
      <w:pPr>
        <w:ind w:left="454"/>
        <w:jc w:val="center"/>
        <w:rPr>
          <w:b/>
          <w:bCs/>
          <w:sz w:val="28"/>
        </w:rPr>
      </w:pPr>
    </w:p>
    <w:p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:rsidR="009F60CD" w:rsidRDefault="009F60CD" w:rsidP="009F60CD">
      <w:pPr>
        <w:ind w:left="454"/>
        <w:jc w:val="center"/>
      </w:pPr>
    </w:p>
    <w:p w:rsidR="009F60CD" w:rsidRDefault="009F60CD" w:rsidP="009F60CD">
      <w:pPr>
        <w:numPr>
          <w:ilvl w:val="0"/>
          <w:numId w:val="2"/>
        </w:numPr>
        <w:tabs>
          <w:tab w:val="left" w:pos="426"/>
        </w:tabs>
        <w:jc w:val="both"/>
      </w:pPr>
      <w:r>
        <w:t>Predmetom zmluvy je prenájom priestorov – sála MsKS</w:t>
      </w:r>
      <w:r w:rsidR="00A722C3">
        <w:t xml:space="preserve"> a kuchynka</w:t>
      </w:r>
      <w:r>
        <w:t xml:space="preserve">  nachádzajúca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:rsidR="009F60CD" w:rsidRDefault="009F60CD" w:rsidP="009F60CD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 w:rsidR="00A722C3">
        <w:rPr>
          <w:b/>
          <w:bCs/>
        </w:rPr>
        <w:t>svadobná hostina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:rsidR="009F60CD" w:rsidRDefault="009F60CD" w:rsidP="009F60CD">
      <w:pPr>
        <w:jc w:val="both"/>
        <w:rPr>
          <w:shd w:val="clear" w:color="auto" w:fill="FFFF00"/>
        </w:rPr>
      </w:pPr>
    </w:p>
    <w:p w:rsidR="009F60CD" w:rsidRDefault="009F60CD" w:rsidP="009F60CD">
      <w:pPr>
        <w:ind w:left="454"/>
        <w:jc w:val="center"/>
        <w:rPr>
          <w:b/>
          <w:bCs/>
          <w:sz w:val="28"/>
        </w:rPr>
      </w:pPr>
    </w:p>
    <w:p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:rsidR="009F60CD" w:rsidRDefault="009F60CD" w:rsidP="009F60CD">
      <w:pPr>
        <w:ind w:left="454"/>
        <w:jc w:val="center"/>
        <w:rPr>
          <w:b/>
          <w:bCs/>
          <w:sz w:val="28"/>
          <w:shd w:val="clear" w:color="auto" w:fill="FFFF00"/>
        </w:rPr>
      </w:pPr>
    </w:p>
    <w:p w:rsidR="009F60CD" w:rsidRDefault="009F60CD" w:rsidP="009F60CD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A722C3">
        <w:rPr>
          <w:b/>
          <w:bCs/>
        </w:rPr>
        <w:t>3</w:t>
      </w:r>
      <w:r w:rsidR="009337A8">
        <w:rPr>
          <w:b/>
          <w:bCs/>
        </w:rPr>
        <w:t>0</w:t>
      </w:r>
      <w:r>
        <w:rPr>
          <w:b/>
          <w:bCs/>
        </w:rPr>
        <w:t>0,- Eur</w:t>
      </w:r>
      <w:r>
        <w:t xml:space="preserve"> za prenájom sály MsKS vrátane stolov a stoličiek  v zmysle cenníka poplatkov za prepožičiavanie sály MsKS. Celková cena prenájmu je </w:t>
      </w:r>
      <w:r w:rsidR="00A722C3">
        <w:rPr>
          <w:b/>
          <w:bCs/>
        </w:rPr>
        <w:t>3</w:t>
      </w:r>
      <w:r w:rsidR="009337A8">
        <w:rPr>
          <w:b/>
          <w:bCs/>
        </w:rPr>
        <w:t>0</w:t>
      </w:r>
      <w:r>
        <w:rPr>
          <w:b/>
          <w:bCs/>
        </w:rPr>
        <w:t>0,-</w:t>
      </w:r>
      <w:r>
        <w:t xml:space="preserve"> Eur.</w:t>
      </w:r>
    </w:p>
    <w:p w:rsidR="009F60CD" w:rsidRDefault="009F60CD" w:rsidP="009F60CD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Poplatok za prenájom priestorov je splatný najneskôr pri podpise tejto zmluvy. Poplatok je potrebné uhradiť do pokladne prenajímateľa alebo prevodným príkazom na účet prenajímateľa, a to vo výške podľa ods. 1 tohto článku zmluvy. V prípade, že nájomca bude </w:t>
      </w:r>
      <w:r>
        <w:lastRenderedPageBreak/>
        <w:t>užívať priestory dlhšie ako je uvedené v článku III. tejto zmluvy, alebo vo väčšom rozsahu, je povinný nájomné za tento čas doplatiť podľa cenníka poplatkov.</w:t>
      </w:r>
    </w:p>
    <w:p w:rsidR="009F60CD" w:rsidRDefault="009F60CD" w:rsidP="009F60CD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:rsidR="009F60CD" w:rsidRDefault="009F60CD" w:rsidP="009F60CD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:rsidR="009F60CD" w:rsidRDefault="009F60CD" w:rsidP="009F60CD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:rsidR="009F60CD" w:rsidRDefault="009F60CD" w:rsidP="009F60CD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:rsidR="009F60CD" w:rsidRDefault="009F60CD" w:rsidP="009F60CD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:rsidR="009F60CD" w:rsidRDefault="009F60CD" w:rsidP="009F60CD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:rsidR="009F60CD" w:rsidRDefault="009F60CD" w:rsidP="009F60CD">
      <w:pPr>
        <w:ind w:left="454"/>
        <w:jc w:val="center"/>
        <w:rPr>
          <w:b/>
          <w:bCs/>
          <w:sz w:val="28"/>
        </w:rPr>
      </w:pPr>
    </w:p>
    <w:p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:rsidR="009F60CD" w:rsidRDefault="009F60CD" w:rsidP="009F60CD">
      <w:pPr>
        <w:ind w:left="454"/>
        <w:jc w:val="center"/>
        <w:rPr>
          <w:b/>
          <w:bCs/>
          <w:sz w:val="28"/>
        </w:rPr>
      </w:pPr>
    </w:p>
    <w:p w:rsidR="009F60CD" w:rsidRDefault="009F60CD" w:rsidP="009F60CD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A722C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722C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.2024 o 1</w:t>
      </w:r>
      <w:r w:rsidR="00A722C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:00 hod. </w:t>
      </w:r>
    </w:p>
    <w:p w:rsidR="009F60CD" w:rsidRDefault="009F60CD" w:rsidP="009F60CD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najneskôr dňa </w:t>
      </w:r>
      <w:r w:rsidR="00A722C3">
        <w:rPr>
          <w:rFonts w:ascii="Times New Roman" w:hAnsi="Times New Roman" w:cs="Times New Roman"/>
          <w:sz w:val="24"/>
          <w:szCs w:val="24"/>
        </w:rPr>
        <w:t>2</w:t>
      </w:r>
      <w:r w:rsidR="00D56B1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722C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.2024 do </w:t>
      </w:r>
      <w:r w:rsidR="009337A8">
        <w:rPr>
          <w:rFonts w:ascii="Times New Roman" w:hAnsi="Times New Roman" w:cs="Times New Roman"/>
          <w:sz w:val="24"/>
          <w:szCs w:val="24"/>
        </w:rPr>
        <w:t>1</w:t>
      </w:r>
      <w:r w:rsidR="00A722C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:00 hod..</w:t>
      </w:r>
    </w:p>
    <w:p w:rsidR="009F60CD" w:rsidRDefault="009F60CD" w:rsidP="009F60CD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</w:t>
      </w:r>
      <w:r w:rsidR="00A722C3">
        <w:rPr>
          <w:rFonts w:ascii="Times New Roman" w:hAnsi="Times New Roman" w:cs="Times New Roman"/>
          <w:b/>
          <w:bCs/>
          <w:sz w:val="24"/>
          <w:szCs w:val="24"/>
        </w:rPr>
        <w:t>svadobná hostina</w:t>
      </w:r>
      <w:r>
        <w:rPr>
          <w:rFonts w:ascii="Times New Roman" w:hAnsi="Times New Roman" w:cs="Times New Roman"/>
          <w:sz w:val="24"/>
          <w:szCs w:val="24"/>
        </w:rPr>
        <w:t xml:space="preserve"> sa bude konať dňa </w:t>
      </w:r>
      <w:r w:rsidR="00A722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337A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722C3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.2024 od 1</w:t>
      </w:r>
      <w:r w:rsidR="009337A8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:00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02:00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zmluvy, s čím nájomca súhlasí.</w:t>
      </w:r>
    </w:p>
    <w:p w:rsidR="009F60CD" w:rsidRDefault="009F60CD" w:rsidP="009F60CD">
      <w:pPr>
        <w:ind w:left="454"/>
        <w:jc w:val="center"/>
        <w:rPr>
          <w:b/>
          <w:bCs/>
          <w:sz w:val="28"/>
        </w:rPr>
      </w:pPr>
    </w:p>
    <w:p w:rsidR="009F60CD" w:rsidRDefault="009F60CD" w:rsidP="009F60CD">
      <w:pPr>
        <w:ind w:left="454"/>
        <w:jc w:val="center"/>
        <w:rPr>
          <w:b/>
          <w:bCs/>
          <w:sz w:val="28"/>
        </w:rPr>
      </w:pPr>
    </w:p>
    <w:p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:rsidR="009F60CD" w:rsidRDefault="009F60CD" w:rsidP="009F60CD">
      <w:pPr>
        <w:ind w:left="454"/>
        <w:jc w:val="center"/>
        <w:rPr>
          <w:b/>
          <w:bCs/>
          <w:shd w:val="clear" w:color="auto" w:fill="FFFF00"/>
        </w:rPr>
      </w:pPr>
    </w:p>
    <w:p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zodpovedá za dodržiavanie predpisov v oblasti požiarnej ochrany a BOZP a ďalších osobitných predpisov a tiež je oboznámený so súvisiacimi zákonmi pri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organizovaní kultúrno-spoločenských podujatí (zákon č. 96/1991 Zb. o verejných kultúrnych podujatiach, zákon č. 214/2009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zákon č. 219/1996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ochrane pred zneužívaním alkoholických nápojov ...).</w:t>
      </w:r>
    </w:p>
    <w:p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skončení akcie nájomca uprace prenajaté priestory kultúrneho domu a kuchynky ako aj verejné priestranstvo v okolí obchodného domu – odovzdať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:rsidR="009F60CD" w:rsidRDefault="009F60CD" w:rsidP="009F60CD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:rsidR="009F60CD" w:rsidRDefault="009F60CD" w:rsidP="009F60CD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F60CD" w:rsidRDefault="009F60CD" w:rsidP="009F60CD">
      <w:pPr>
        <w:ind w:left="454"/>
        <w:jc w:val="center"/>
        <w:rPr>
          <w:b/>
          <w:bCs/>
          <w:sz w:val="28"/>
        </w:rPr>
      </w:pPr>
    </w:p>
    <w:p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:rsidR="009F60CD" w:rsidRDefault="009F60CD" w:rsidP="009F60C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:rsidR="009F60CD" w:rsidRDefault="009F60CD" w:rsidP="009F60CD">
      <w:pPr>
        <w:ind w:left="454"/>
        <w:jc w:val="center"/>
        <w:rPr>
          <w:b/>
          <w:bCs/>
          <w:sz w:val="28"/>
          <w:shd w:val="clear" w:color="auto" w:fill="FFFF00"/>
        </w:rPr>
      </w:pPr>
    </w:p>
    <w:p w:rsidR="009F60CD" w:rsidRDefault="009F60CD" w:rsidP="009F60CD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:rsidR="009F60CD" w:rsidRDefault="009F60CD" w:rsidP="009F60CD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:rsidR="009F60CD" w:rsidRDefault="009F60CD" w:rsidP="009F60CD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:rsidR="009F60CD" w:rsidRDefault="009F60CD" w:rsidP="009F60CD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:rsidR="009F60CD" w:rsidRDefault="009F60CD" w:rsidP="009F60CD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:rsidR="009F60CD" w:rsidRDefault="009F60CD" w:rsidP="009F60CD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:rsidR="009F60CD" w:rsidRDefault="009F60CD" w:rsidP="009F60CD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200,- Eur</w:t>
      </w:r>
      <w:r>
        <w:t xml:space="preserve">. Zábezpeka bude užívateľovi vrátená po riadnom odovzdaní priestorov zodpovednej osobe a pri dodržaní povinností stanovených v čl. IV tejto zmluvy. V prípade vzniknutej škody na prenajímaných priestoroch alebo </w:t>
      </w:r>
      <w:r>
        <w:lastRenderedPageBreak/>
        <w:t>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:rsidR="009F60CD" w:rsidRDefault="009F60CD" w:rsidP="009F60CD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:rsidR="009F60CD" w:rsidRDefault="009F60CD" w:rsidP="009F60CD">
      <w:pPr>
        <w:jc w:val="both"/>
        <w:rPr>
          <w:shd w:val="clear" w:color="auto" w:fill="FFFF00"/>
        </w:rPr>
      </w:pPr>
    </w:p>
    <w:p w:rsidR="009F60CD" w:rsidRDefault="009F60CD" w:rsidP="009F60CD">
      <w:pPr>
        <w:jc w:val="center"/>
        <w:rPr>
          <w:b/>
          <w:bCs/>
          <w:sz w:val="28"/>
        </w:rPr>
      </w:pPr>
    </w:p>
    <w:p w:rsidR="009F60CD" w:rsidRDefault="009F60CD" w:rsidP="009F60C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:rsidR="009F60CD" w:rsidRDefault="009F60CD" w:rsidP="009F60C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:rsidR="009F60CD" w:rsidRDefault="009F60CD" w:rsidP="009F60CD">
      <w:pPr>
        <w:jc w:val="both"/>
        <w:rPr>
          <w:shd w:val="clear" w:color="auto" w:fill="FFFF00"/>
        </w:rPr>
      </w:pPr>
    </w:p>
    <w:p w:rsidR="009F60CD" w:rsidRDefault="009F60CD" w:rsidP="009F60CD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:rsidR="009F60CD" w:rsidRDefault="009F60CD" w:rsidP="009F60CD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:rsidR="009F60CD" w:rsidRDefault="009F60CD" w:rsidP="009F60CD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:rsidR="009F60CD" w:rsidRDefault="009F60CD" w:rsidP="009F60CD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:rsidR="009F60CD" w:rsidRDefault="009F60CD" w:rsidP="009F60CD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:rsidR="009F60CD" w:rsidRDefault="009F60CD" w:rsidP="009F60CD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:rsidR="009F60CD" w:rsidRDefault="009F60CD" w:rsidP="009F60CD">
      <w:pPr>
        <w:ind w:left="426"/>
        <w:jc w:val="both"/>
      </w:pPr>
    </w:p>
    <w:p w:rsidR="009F60CD" w:rsidRDefault="009F60CD" w:rsidP="009F60CD">
      <w:pPr>
        <w:jc w:val="both"/>
        <w:rPr>
          <w:shd w:val="clear" w:color="auto" w:fill="FFFF00"/>
        </w:rPr>
      </w:pPr>
    </w:p>
    <w:p w:rsidR="009F60CD" w:rsidRDefault="009F60CD" w:rsidP="009F60CD">
      <w:pPr>
        <w:jc w:val="both"/>
        <w:rPr>
          <w:shd w:val="clear" w:color="auto" w:fill="FFFF00"/>
        </w:rPr>
      </w:pPr>
    </w:p>
    <w:p w:rsidR="009F60CD" w:rsidRDefault="009F60CD" w:rsidP="009F60CD">
      <w:pPr>
        <w:jc w:val="both"/>
      </w:pPr>
      <w:r>
        <w:t xml:space="preserve">V Medzeve, dňa: </w:t>
      </w:r>
      <w:r w:rsidR="00A722C3">
        <w:t>22</w:t>
      </w:r>
      <w:r>
        <w:t>.0</w:t>
      </w:r>
      <w:r w:rsidR="00A722C3">
        <w:t>8</w:t>
      </w:r>
      <w:r>
        <w:t>.2024</w:t>
      </w:r>
      <w:r>
        <w:tab/>
      </w:r>
      <w:r>
        <w:tab/>
      </w:r>
      <w:r>
        <w:tab/>
        <w:t xml:space="preserve">                       V Medzeve, dňa: </w:t>
      </w:r>
      <w:r w:rsidR="00A722C3">
        <w:t>22</w:t>
      </w:r>
      <w:r>
        <w:t>.0</w:t>
      </w:r>
      <w:r w:rsidR="00A722C3">
        <w:t>8</w:t>
      </w:r>
      <w:r>
        <w:t xml:space="preserve">.2024             </w:t>
      </w:r>
    </w:p>
    <w:p w:rsidR="009F60CD" w:rsidRDefault="009F60CD" w:rsidP="009F60CD">
      <w:pPr>
        <w:jc w:val="both"/>
        <w:rPr>
          <w:shd w:val="clear" w:color="auto" w:fill="FFFF00"/>
        </w:rPr>
      </w:pPr>
    </w:p>
    <w:p w:rsidR="009F60CD" w:rsidRDefault="009F60CD" w:rsidP="009F60CD">
      <w:pPr>
        <w:jc w:val="both"/>
        <w:rPr>
          <w:shd w:val="clear" w:color="auto" w:fill="FFFF00"/>
        </w:rPr>
      </w:pPr>
    </w:p>
    <w:p w:rsidR="009F60CD" w:rsidRDefault="009F60CD" w:rsidP="009F60CD">
      <w:pPr>
        <w:jc w:val="both"/>
      </w:pPr>
    </w:p>
    <w:p w:rsidR="009F60CD" w:rsidRDefault="009F60CD" w:rsidP="009F60CD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:rsidR="009F60CD" w:rsidRDefault="009F60CD" w:rsidP="009F60CD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:rsidR="009F60CD" w:rsidRDefault="009F60CD" w:rsidP="009F60CD">
      <w:r>
        <w:t xml:space="preserve">   Ingrid Horváthová</w:t>
      </w:r>
    </w:p>
    <w:p w:rsidR="009F60CD" w:rsidRDefault="009F60CD" w:rsidP="009F60CD">
      <w:r>
        <w:t xml:space="preserve">     vedúca MsKS</w:t>
      </w:r>
    </w:p>
    <w:p w:rsidR="009F60CD" w:rsidRDefault="009F60CD" w:rsidP="009F60CD"/>
    <w:p w:rsidR="00836A9F" w:rsidRDefault="00836A9F"/>
    <w:sectPr w:rsidR="00836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C5925"/>
    <w:multiLevelType w:val="hybridMultilevel"/>
    <w:tmpl w:val="4DB216C4"/>
    <w:lvl w:ilvl="0" w:tplc="041B000F">
      <w:start w:val="1"/>
      <w:numFmt w:val="decimal"/>
      <w:lvlText w:val="%1."/>
      <w:lvlJc w:val="left"/>
      <w:pPr>
        <w:ind w:left="1174" w:hanging="360"/>
      </w:pPr>
    </w:lvl>
    <w:lvl w:ilvl="1" w:tplc="041B0019">
      <w:start w:val="1"/>
      <w:numFmt w:val="lowerLetter"/>
      <w:lvlText w:val="%2."/>
      <w:lvlJc w:val="left"/>
      <w:pPr>
        <w:ind w:left="1894" w:hanging="360"/>
      </w:pPr>
    </w:lvl>
    <w:lvl w:ilvl="2" w:tplc="041B001B">
      <w:start w:val="1"/>
      <w:numFmt w:val="lowerRoman"/>
      <w:lvlText w:val="%3."/>
      <w:lvlJc w:val="right"/>
      <w:pPr>
        <w:ind w:left="2614" w:hanging="180"/>
      </w:pPr>
    </w:lvl>
    <w:lvl w:ilvl="3" w:tplc="041B000F">
      <w:start w:val="1"/>
      <w:numFmt w:val="decimal"/>
      <w:lvlText w:val="%4."/>
      <w:lvlJc w:val="left"/>
      <w:pPr>
        <w:ind w:left="3334" w:hanging="360"/>
      </w:pPr>
    </w:lvl>
    <w:lvl w:ilvl="4" w:tplc="041B0019">
      <w:start w:val="1"/>
      <w:numFmt w:val="lowerLetter"/>
      <w:lvlText w:val="%5."/>
      <w:lvlJc w:val="left"/>
      <w:pPr>
        <w:ind w:left="4054" w:hanging="360"/>
      </w:pPr>
    </w:lvl>
    <w:lvl w:ilvl="5" w:tplc="041B001B">
      <w:start w:val="1"/>
      <w:numFmt w:val="lowerRoman"/>
      <w:lvlText w:val="%6."/>
      <w:lvlJc w:val="right"/>
      <w:pPr>
        <w:ind w:left="4774" w:hanging="180"/>
      </w:pPr>
    </w:lvl>
    <w:lvl w:ilvl="6" w:tplc="041B000F">
      <w:start w:val="1"/>
      <w:numFmt w:val="decimal"/>
      <w:lvlText w:val="%7."/>
      <w:lvlJc w:val="left"/>
      <w:pPr>
        <w:ind w:left="5494" w:hanging="360"/>
      </w:pPr>
    </w:lvl>
    <w:lvl w:ilvl="7" w:tplc="041B0019">
      <w:start w:val="1"/>
      <w:numFmt w:val="lowerLetter"/>
      <w:lvlText w:val="%8."/>
      <w:lvlJc w:val="left"/>
      <w:pPr>
        <w:ind w:left="6214" w:hanging="360"/>
      </w:pPr>
    </w:lvl>
    <w:lvl w:ilvl="8" w:tplc="041B001B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517A3126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54A84B30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AEA8E324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6A7E0512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4426F0CC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A0DCB6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94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09042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3436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8833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95383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2816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915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CD"/>
    <w:rsid w:val="001703B7"/>
    <w:rsid w:val="002B2BFC"/>
    <w:rsid w:val="002D433F"/>
    <w:rsid w:val="00836A9F"/>
    <w:rsid w:val="009337A8"/>
    <w:rsid w:val="009F60CD"/>
    <w:rsid w:val="00A722C3"/>
    <w:rsid w:val="00BE2335"/>
    <w:rsid w:val="00D5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583C"/>
  <w15:chartTrackingRefBased/>
  <w15:docId w15:val="{045D7D0B-3D36-401F-9485-54D44BB9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60C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9F60CD"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rsid w:val="009F60CD"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rsid w:val="009F60C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9F60CD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Medzev</dc:creator>
  <cp:keywords/>
  <dc:description/>
  <cp:lastModifiedBy>Knihovna Medzev</cp:lastModifiedBy>
  <cp:revision>8</cp:revision>
  <cp:lastPrinted>2024-08-21T06:40:00Z</cp:lastPrinted>
  <dcterms:created xsi:type="dcterms:W3CDTF">2024-05-04T10:29:00Z</dcterms:created>
  <dcterms:modified xsi:type="dcterms:W3CDTF">2024-08-21T06:42:00Z</dcterms:modified>
</cp:coreProperties>
</file>